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120 III 67</w:t>
      </w:r>
    </w:p>
    <w:p>
      <w:r>
        <w:t>Bundesgericht (BGE), 1992-05-21, FR</w:t>
      </w:r>
    </w:p>
    <w:p>
      <w:r>
        <w:rPr>
          <w:b/>
        </w:rPr>
        <w:t xml:space="preserve">Quelle: </w:t>
      </w:r>
      <w:r>
        <w:t>https://mcp.opencaselaw.ch/entscheid/bge_120 III 67</w:t>
      </w:r>
    </w:p>
    <w:p>
      <w:r>
        <w:t>FR: ATF 120 III 67</w:t>
      </w:r>
    </w:p>
    <w:p>
      <w:r>
        <w:t>IT: DTF 120 III 67</w:t>
      </w:r>
    </w:p>
    <w:p>
      <w:pPr>
        <w:pStyle w:val="Heading2"/>
      </w:pPr>
      <w:r>
        <w:t>Regeste</w:t>
      </w:r>
    </w:p>
    <w:p>
      <w:r>
        <w:t>Regeste Verhältnis zwischen der Pfändung des Schuldbetreibungsrechts (Art. 88 ff. SchKG) und der Verfügungsbeschränkung gemäss Art. 145 und 178 ZGB. Die privatrechtliche Regelung tritt nicht an die Stelle des Schuldbetreibungsrechts. Die Beschränkung der Verfügungsbefugnis gemäss Art. 145 oder 178 ZGB hat lediglich zur Folge, dass da Zwangsverwertungsverfahren vorübergehend sistiert oder dass seine Einleitung aufgeschoben wird, bis das Sachurteil rechtskräftig und vollstreckbar geworden ist, führt aber nicht zu einer Begünstigung innerhalb des Zwangsverwertungsverfahrens (E. 2).</w:t>
      </w:r>
    </w:p>
    <w:p>
      <w:pPr>
        <w:pStyle w:val="Heading2"/>
      </w:pPr>
      <w:r>
        <w:t>Erwägungen</w:t>
      </w:r>
    </w:p>
    <w:p>
      <w:r>
        <w:rPr>
          <w:b/>
        </w:rPr>
        <w:t>E. 2</w:t>
      </w:r>
    </w:p>
    <w:p>
      <w:r>
        <w:t>La recourante fait valoir en substance que les dispositions de la loi sur la poursuite en matière de saisie doivent céder le pas à la réglementation plus récente et spéciale de l' art. 178 CC . En méconnaissant la portée des mesures conservatoires provisionnelles, "validées par un jugement de liquidation du régime matrimonial", et en admettant la saisie par l'office des poursuites de biens préalablement saisis par le juge civil, l'autorité cantonale de surveillance aurait ainsi violé l' art. 95 al. 3 LP . a) L' art. 178 CC prévoit que le juge (civil) peut, à la requête de l'un des époux, restreindre le pouvoir de l'autre de disposer de certains de ses biens sans le consentement de son conjoint. Cette disposition tend à éviter qu'un époux, en procédant à des actes de disposition volontaires, se mette dans l'impossibilité de faire face à ses obligations pécuniaires envers son conjoint, que celles-ci découlent des effets généraux du mariage (devoir d'entretien, prétention de l'époux au foyer) ou du régime matrimonial (acquittement de récompenses, participation aux acquêts) (Message du 11 juillet 1979 concernant la révision du Code civil suisse, FF 1979 II 1264). L' art. 178 CC s'applique aussi, par analogie, dans une procédure de divorce ou de séparation de corps en cas de mesures provisoires au sens de l' art. 145 CC ( ATF 118 II 378 consid. 3b p. 380). La durée de validité d'une mesure telle que la restriction du pouvoir de disposer est limitée, à cause du caractère nécessairement provisoire d'une mesure protectrice de ce type (Message, FF 1979 II 1264; PETITPIERRE/DE MONTMOLLIN/GUINAND/HAUSHEER, Mariage: effets généraux, La protection de l'union conjugale, FJS 106 ch. II C 2d, D 3 et E). De manière générale, une mesure judiciaire est caduque de plein droit à l'expiration du temps pour lequel elle a été ordonnée (DESCHENAUX/STEINAUER, Le nouveau droit matrimonial, Berne 1987, p. 153). b) Si certains auteurs sont d'avis que la réglementation de la loi sur la poursuite doit céder le pas à celle plus récente et spéciale du Code civil (cf. notamment BÜHLER/SPÜHLER, Berner Kommentar, n. 344 et 374 ad art. 145 CC ; SPÜHLER, Ergänzungsband, n. 344 ad art. 145 CC ; HASENBÖHLER, Verfügungsbeschränkungen zum Schutze eines Ehegatten, BJM 1986 p. 91), d'autres estiment en revanche que les biens frappés d'indisponibilité par une mesure telle que celles prévues par l' art. 178 CC ne peuvent être soustraits à une exécution forcée (cf. notamment HAUSHEER/REUSSER/GEISER, Kommentar zum Eherecht, n. 15 ad art. 178 CC ; HENRI-ROBERT SCHÜPBACH, BGE 120 III 67 S. 70 L'exécution forcée menée par un tiers contre un conjoint à raison d'une obligation patrimoniale, in Mélanges Pierre Engel, Lausanne 1989, p. 335; DESCHENAUX/STEINAUER, op.cit., p. 151; VINCENT PELET, Mesures provisionnelles: droit fédéral ou cantonal?, Lausanne 1987, n. 276 et 299). A vrai dire, la réglementation du droit civil ne se substitue pas à celle du droit de la poursuite et le principe demeure que l'exécution forcée ayant pour objet une somme d'argent ou des sûretés à fournir s'opère exclusivement par la poursuite pour dettes ( art. 38 al. 1 LP ). La restriction du pouvoir de disposition ordonnée en vertu des art. 145 ou 178 CC a simplement pour effet de suspendre provisoirement le déroulement de la procédure d'exécution forcée, ou de reporter son ouverture, jusqu'au prononcé définitif et exécutoire du jugement au fond ( ATF 108 II 509 consid. 8b p. 515); elle ne confère à son bénéficiaire, à part l'assurance d'être protégé contre le risque d'opérations menaçant le "maintien des conditions matérielles de la famille ou l'exécution d'obligations pécuniaires découlant du mariage", aucun privilège particulier sur le plan de l'exécution forcée. Ainsi que DESCHENAUX l'a exprimé à propos du blocage du registre foncier, alors prévu par les lois de procédure civile cantonale (Le registre foncier, Traité de droit privé suisse, vol. V II, 2, §19 IV 3 n. 74), une telle mesure "immobilise" les valeurs sur lesquelles les droits d'exécution du bénéficiaire pourront s'exercer; mais au moment où cette possibilité s'ouvre pour celui-ci, les autres créanciers concourront avec lui sur ces valeurs bloquées, conformément aux règles ordinaires de la collocation des créances. c) La décision attaquée, qui se fonde sur ces principes, n'est donc pas contraire au droit fédéral. L'autorité cantonale constate en outre, de façon à lier le Tribunal fédéral ( art. 63 al. 2 OJ ), que l'ordonnance de mesures provisionnelles (saisie conservatoire provisionnelle) du 11 mars 1992 devait déployer ses effets jusqu'à droit jugé. Or le jugement au fond a été rendu le 25 novembre 1993 et n'a fait l'objet d'aucun appel. Les mesures provisionnelles n'ont donc pas été "validées" par le jugement au fond, comme l'affirme la recourante, mais sont au contraire devenues alors caduques, ainsi que le retient à juste titre la décision attaquée; partant, dès ce jugement définitif et exécutoire, il pouvait être donné libre cours à la procédure d'exécution forcée engagée.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